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BCDF0">
      <w:pPr>
        <w:tabs>
          <w:tab w:val="center" w:pos="4365"/>
        </w:tabs>
        <w:spacing w:line="560" w:lineRule="exact"/>
        <w:jc w:val="center"/>
        <w:outlineLvl w:val="0"/>
        <w:rPr>
          <w:rFonts w:hint="eastAsia" w:ascii="Times New Roman" w:hAnsi="Times New Roman" w:eastAsia="方正小标宋_GBK" w:cs="方正小标宋_GBK"/>
          <w:b w:val="0"/>
          <w:bCs/>
          <w:color w:val="auto"/>
          <w:sz w:val="44"/>
          <w:szCs w:val="44"/>
          <w:highlight w:val="none"/>
        </w:rPr>
      </w:pPr>
      <w:bookmarkStart w:id="0" w:name="_Toc29831"/>
      <w:r>
        <w:rPr>
          <w:rFonts w:hint="eastAsia" w:ascii="Times New Roman" w:hAnsi="Times New Roman" w:eastAsia="方正小标宋_GBK" w:cs="方正小标宋_GBK"/>
          <w:b w:val="0"/>
          <w:bCs/>
          <w:color w:val="auto"/>
          <w:sz w:val="44"/>
          <w:szCs w:val="44"/>
          <w:highlight w:val="none"/>
        </w:rPr>
        <w:t>安徽省科学技术奖提名项目公示内容</w:t>
      </w:r>
      <w:bookmarkEnd w:id="0"/>
    </w:p>
    <w:p w14:paraId="488D057C">
      <w:pPr>
        <w:keepNext/>
        <w:keepLines w:val="0"/>
        <w:pageBreakBefore w:val="0"/>
        <w:widowControl w:val="0"/>
        <w:tabs>
          <w:tab w:val="center" w:pos="4365"/>
        </w:tabs>
        <w:kinsoku/>
        <w:wordWrap/>
        <w:overflowPunct/>
        <w:topLinePunct w:val="0"/>
        <w:autoSpaceDE/>
        <w:autoSpaceDN/>
        <w:bidi w:val="0"/>
        <w:adjustRightInd/>
        <w:snapToGrid/>
        <w:jc w:val="center"/>
        <w:textAlignment w:val="auto"/>
        <w:rPr>
          <w:rFonts w:hint="default" w:ascii="Times New Roman" w:hAnsi="Times New Roman" w:eastAsia="方正仿宋_GBK"/>
          <w:b/>
          <w:color w:val="auto"/>
          <w:sz w:val="36"/>
          <w:szCs w:val="36"/>
          <w:highlight w:val="none"/>
        </w:rPr>
      </w:pPr>
      <w:r>
        <w:rPr>
          <w:rFonts w:hint="eastAsia" w:ascii="Times New Roman" w:hAnsi="Times New Roman" w:eastAsia="方正仿宋_GBK"/>
          <w:b/>
          <w:color w:val="auto"/>
          <w:sz w:val="36"/>
          <w:szCs w:val="36"/>
          <w:highlight w:val="none"/>
        </w:rPr>
        <w:t>（2025年度）</w:t>
      </w:r>
    </w:p>
    <w:p w14:paraId="57235C23">
      <w:pPr>
        <w:spacing w:beforeLines="0" w:afterLines="0" w:line="560" w:lineRule="exact"/>
        <w:ind w:firstLine="643" w:firstLineChars="200"/>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b/>
          <w:bCs/>
          <w:color w:val="auto"/>
          <w:sz w:val="32"/>
          <w:szCs w:val="32"/>
          <w:highlight w:val="none"/>
        </w:rPr>
        <w:t>科学技术进步奖</w:t>
      </w:r>
      <w:r>
        <w:rPr>
          <w:rFonts w:hint="eastAsia" w:ascii="Times New Roman" w:hAnsi="Times New Roman" w:eastAsia="方正仿宋_GBK" w:cs="方正仿宋_GBK"/>
          <w:color w:val="auto"/>
          <w:sz w:val="32"/>
          <w:szCs w:val="32"/>
          <w:highlight w:val="none"/>
        </w:rPr>
        <w:t>：</w:t>
      </w:r>
    </w:p>
    <w:p w14:paraId="794C143B">
      <w:pPr>
        <w:spacing w:beforeLines="0" w:afterLines="0" w:line="560" w:lineRule="exact"/>
        <w:ind w:firstLine="643" w:firstLineChars="200"/>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b/>
          <w:bCs/>
          <w:color w:val="auto"/>
          <w:sz w:val="32"/>
          <w:szCs w:val="32"/>
          <w:highlight w:val="none"/>
        </w:rPr>
        <w:t>项目名称</w:t>
      </w:r>
      <w:r>
        <w:rPr>
          <w:rFonts w:hint="eastAsia" w:ascii="Times New Roman" w:hAnsi="Times New Roman" w:eastAsia="方正仿宋_GBK" w:cs="方正仿宋_GBK"/>
          <w:b/>
          <w:bCs/>
          <w:color w:val="auto"/>
          <w:sz w:val="32"/>
          <w:szCs w:val="32"/>
          <w:highlight w:val="none"/>
          <w:lang w:eastAsia="zh-CN"/>
        </w:rPr>
        <w:t>：</w:t>
      </w:r>
      <w:r>
        <w:rPr>
          <w:rFonts w:hint="eastAsia" w:ascii="Times New Roman" w:hAnsi="Times New Roman" w:eastAsia="方正仿宋_GBK" w:cs="方正仿宋_GBK"/>
          <w:color w:val="auto"/>
          <w:sz w:val="32"/>
          <w:szCs w:val="32"/>
          <w:highlight w:val="none"/>
          <w:lang w:val="en-US" w:eastAsia="zh-CN"/>
        </w:rPr>
        <w:t>颈椎横突尖针刺法治疗后循环缺血的技术技术创建与推广应用。</w:t>
      </w:r>
    </w:p>
    <w:p w14:paraId="1AE273D6">
      <w:pPr>
        <w:spacing w:beforeLines="0" w:afterLines="0" w:line="560" w:lineRule="exact"/>
        <w:ind w:firstLine="643" w:firstLineChars="200"/>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b/>
          <w:bCs/>
          <w:color w:val="auto"/>
          <w:sz w:val="32"/>
          <w:szCs w:val="32"/>
          <w:highlight w:val="none"/>
        </w:rPr>
        <w:t>提名者</w:t>
      </w:r>
      <w:r>
        <w:rPr>
          <w:rFonts w:hint="eastAsia" w:ascii="Times New Roman" w:hAnsi="Times New Roman" w:eastAsia="方正仿宋_GBK" w:cs="方正仿宋_GBK"/>
          <w:b/>
          <w:bCs/>
          <w:color w:val="auto"/>
          <w:sz w:val="32"/>
          <w:szCs w:val="32"/>
          <w:highlight w:val="none"/>
          <w:lang w:eastAsia="zh-CN"/>
        </w:rPr>
        <w:t>：</w:t>
      </w:r>
      <w:r>
        <w:rPr>
          <w:rFonts w:hint="eastAsia" w:ascii="Times New Roman" w:hAnsi="Times New Roman" w:eastAsia="方正仿宋_GBK" w:cs="方正仿宋_GBK"/>
          <w:color w:val="auto"/>
          <w:sz w:val="32"/>
          <w:szCs w:val="32"/>
          <w:highlight w:val="none"/>
          <w:lang w:val="en-US" w:eastAsia="zh-CN"/>
        </w:rPr>
        <w:t>安徽中医药大学第二附属医院。</w:t>
      </w:r>
    </w:p>
    <w:p w14:paraId="799BF0A4">
      <w:pPr>
        <w:keepNext w:val="0"/>
        <w:keepLines w:val="0"/>
        <w:pageBreakBefore w:val="0"/>
        <w:widowControl w:val="0"/>
        <w:kinsoku/>
        <w:wordWrap/>
        <w:overflowPunct/>
        <w:topLinePunct w:val="0"/>
        <w:autoSpaceDE/>
        <w:autoSpaceDN/>
        <w:bidi w:val="0"/>
        <w:adjustRightInd/>
        <w:snapToGrid/>
        <w:spacing w:line="360" w:lineRule="exact"/>
        <w:ind w:firstLine="643" w:firstLineChars="200"/>
        <w:textAlignment w:val="auto"/>
        <w:rPr>
          <w:rFonts w:hint="eastAsia" w:ascii="Times New Roman" w:hAnsi="Times New Roman" w:eastAsia="方正仿宋_GBK" w:cs="方正仿宋_GBK"/>
          <w:b/>
          <w:bCs/>
          <w:color w:val="auto"/>
          <w:sz w:val="32"/>
          <w:szCs w:val="32"/>
          <w:highlight w:val="none"/>
          <w:lang w:val="en-US" w:eastAsia="zh-CN"/>
        </w:rPr>
      </w:pPr>
      <w:r>
        <w:rPr>
          <w:rFonts w:hint="eastAsia" w:ascii="Times New Roman" w:hAnsi="Times New Roman" w:eastAsia="方正仿宋_GBK" w:cs="方正仿宋_GBK"/>
          <w:b/>
          <w:bCs/>
          <w:color w:val="auto"/>
          <w:sz w:val="32"/>
          <w:szCs w:val="32"/>
          <w:highlight w:val="none"/>
          <w:lang w:val="en-US" w:eastAsia="zh-CN"/>
        </w:rPr>
        <w:t>主要知识产权和标准规范等目录：</w:t>
      </w:r>
    </w:p>
    <w:tbl>
      <w:tblPr>
        <w:tblStyle w:val="2"/>
        <w:tblW w:w="922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260"/>
        <w:gridCol w:w="1022"/>
        <w:gridCol w:w="849"/>
        <w:gridCol w:w="992"/>
        <w:gridCol w:w="1134"/>
        <w:gridCol w:w="850"/>
        <w:gridCol w:w="851"/>
        <w:gridCol w:w="1183"/>
      </w:tblGrid>
      <w:tr w14:paraId="2A8772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88" w:type="dxa"/>
            <w:tcBorders>
              <w:top w:val="single" w:color="auto" w:sz="8" w:space="0"/>
              <w:left w:val="single" w:color="auto" w:sz="8" w:space="0"/>
              <w:bottom w:val="single" w:color="auto" w:sz="4" w:space="0"/>
              <w:right w:val="single" w:color="auto" w:sz="4" w:space="0"/>
              <w:tl2br w:val="nil"/>
              <w:tr2bl w:val="nil"/>
            </w:tcBorders>
            <w:noWrap w:val="0"/>
            <w:vAlign w:val="center"/>
          </w:tcPr>
          <w:p w14:paraId="43E4A5E7">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知识产权（标准）类别</w:t>
            </w:r>
          </w:p>
        </w:tc>
        <w:tc>
          <w:tcPr>
            <w:tcW w:w="1260" w:type="dxa"/>
            <w:tcBorders>
              <w:top w:val="single" w:color="auto" w:sz="8" w:space="0"/>
              <w:left w:val="single" w:color="auto" w:sz="4" w:space="0"/>
              <w:bottom w:val="single" w:color="auto" w:sz="4" w:space="0"/>
              <w:right w:val="single" w:color="auto" w:sz="4" w:space="0"/>
              <w:tl2br w:val="nil"/>
              <w:tr2bl w:val="nil"/>
            </w:tcBorders>
            <w:noWrap w:val="0"/>
            <w:vAlign w:val="center"/>
          </w:tcPr>
          <w:p w14:paraId="135FAC86">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知识产权（标准）具体名称</w:t>
            </w:r>
          </w:p>
        </w:tc>
        <w:tc>
          <w:tcPr>
            <w:tcW w:w="1022" w:type="dxa"/>
            <w:tcBorders>
              <w:top w:val="single" w:color="auto" w:sz="8" w:space="0"/>
              <w:left w:val="single" w:color="auto" w:sz="4" w:space="0"/>
              <w:bottom w:val="single" w:color="auto" w:sz="4" w:space="0"/>
              <w:right w:val="single" w:color="auto" w:sz="4" w:space="0"/>
              <w:tl2br w:val="nil"/>
              <w:tr2bl w:val="nil"/>
            </w:tcBorders>
            <w:noWrap w:val="0"/>
            <w:vAlign w:val="center"/>
          </w:tcPr>
          <w:p w14:paraId="0953BD56">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国家</w:t>
            </w:r>
          </w:p>
          <w:p w14:paraId="6035C7DB">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（地区）</w:t>
            </w:r>
          </w:p>
        </w:tc>
        <w:tc>
          <w:tcPr>
            <w:tcW w:w="849" w:type="dxa"/>
            <w:tcBorders>
              <w:top w:val="single" w:color="auto" w:sz="8" w:space="0"/>
              <w:left w:val="single" w:color="auto" w:sz="4" w:space="0"/>
              <w:bottom w:val="single" w:color="auto" w:sz="4" w:space="0"/>
              <w:right w:val="single" w:color="auto" w:sz="4" w:space="0"/>
              <w:tl2br w:val="nil"/>
              <w:tr2bl w:val="nil"/>
            </w:tcBorders>
            <w:noWrap w:val="0"/>
            <w:vAlign w:val="center"/>
          </w:tcPr>
          <w:p w14:paraId="560CAEF3">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授权号（标准编号）</w:t>
            </w:r>
          </w:p>
        </w:tc>
        <w:tc>
          <w:tcPr>
            <w:tcW w:w="992" w:type="dxa"/>
            <w:tcBorders>
              <w:top w:val="single" w:color="auto" w:sz="8" w:space="0"/>
              <w:left w:val="single" w:color="auto" w:sz="4" w:space="0"/>
              <w:bottom w:val="single" w:color="auto" w:sz="4" w:space="0"/>
              <w:right w:val="single" w:color="auto" w:sz="4" w:space="0"/>
              <w:tl2br w:val="nil"/>
              <w:tr2bl w:val="nil"/>
            </w:tcBorders>
            <w:noWrap w:val="0"/>
            <w:vAlign w:val="center"/>
          </w:tcPr>
          <w:p w14:paraId="17AE0EB2">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授权（标准发布）日期</w:t>
            </w:r>
          </w:p>
        </w:tc>
        <w:tc>
          <w:tcPr>
            <w:tcW w:w="1134" w:type="dxa"/>
            <w:tcBorders>
              <w:top w:val="single" w:color="auto" w:sz="8" w:space="0"/>
              <w:left w:val="single" w:color="auto" w:sz="4" w:space="0"/>
              <w:bottom w:val="single" w:color="auto" w:sz="4" w:space="0"/>
              <w:right w:val="single" w:color="auto" w:sz="4" w:space="0"/>
              <w:tl2br w:val="nil"/>
              <w:tr2bl w:val="nil"/>
            </w:tcBorders>
            <w:noWrap w:val="0"/>
            <w:vAlign w:val="center"/>
          </w:tcPr>
          <w:p w14:paraId="24E55968">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证书编号</w:t>
            </w:r>
            <w:r>
              <w:rPr>
                <w:rFonts w:hint="default" w:ascii="Times New Roman" w:hAnsi="Times New Roman" w:eastAsia="方正仿宋_GBK" w:cs="Times New Roman"/>
                <w:color w:val="000000" w:themeColor="text1"/>
                <w:sz w:val="21"/>
                <w:szCs w:val="21"/>
                <w:highlight w:val="none"/>
                <w14:textFill>
                  <w14:solidFill>
                    <w14:schemeClr w14:val="tx1"/>
                  </w14:solidFill>
                </w14:textFill>
              </w:rPr>
              <w:br w:type="textWrapping"/>
            </w: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（标准批准发布部门）</w:t>
            </w:r>
          </w:p>
        </w:tc>
        <w:tc>
          <w:tcPr>
            <w:tcW w:w="850" w:type="dxa"/>
            <w:tcBorders>
              <w:top w:val="single" w:color="auto" w:sz="8" w:space="0"/>
              <w:left w:val="single" w:color="auto" w:sz="4" w:space="0"/>
              <w:bottom w:val="single" w:color="auto" w:sz="4" w:space="0"/>
              <w:right w:val="single" w:color="auto" w:sz="4" w:space="0"/>
              <w:tl2br w:val="nil"/>
              <w:tr2bl w:val="nil"/>
            </w:tcBorders>
            <w:noWrap w:val="0"/>
            <w:vAlign w:val="center"/>
          </w:tcPr>
          <w:p w14:paraId="3D35AF09">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权利人（标准起草单位）</w:t>
            </w:r>
          </w:p>
        </w:tc>
        <w:tc>
          <w:tcPr>
            <w:tcW w:w="851" w:type="dxa"/>
            <w:tcBorders>
              <w:top w:val="single" w:color="auto" w:sz="8" w:space="0"/>
              <w:left w:val="single" w:color="auto" w:sz="4" w:space="0"/>
              <w:bottom w:val="single" w:color="auto" w:sz="4" w:space="0"/>
              <w:right w:val="single" w:color="auto" w:sz="4" w:space="0"/>
              <w:tl2br w:val="nil"/>
              <w:tr2bl w:val="nil"/>
            </w:tcBorders>
            <w:noWrap w:val="0"/>
            <w:vAlign w:val="center"/>
          </w:tcPr>
          <w:p w14:paraId="03212A57">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发明人（标准起草人）</w:t>
            </w:r>
          </w:p>
        </w:tc>
        <w:tc>
          <w:tcPr>
            <w:tcW w:w="1183" w:type="dxa"/>
            <w:tcBorders>
              <w:top w:val="single" w:color="auto" w:sz="8" w:space="0"/>
              <w:left w:val="single" w:color="auto" w:sz="4" w:space="0"/>
              <w:bottom w:val="single" w:color="auto" w:sz="4" w:space="0"/>
              <w:right w:val="single" w:color="auto" w:sz="8" w:space="0"/>
              <w:tl2br w:val="nil"/>
              <w:tr2bl w:val="nil"/>
            </w:tcBorders>
            <w:noWrap w:val="0"/>
            <w:vAlign w:val="center"/>
          </w:tcPr>
          <w:p w14:paraId="3CE598D1">
            <w:pPr>
              <w:adjustRightInd w:val="0"/>
              <w:snapToGrid w:val="0"/>
              <w:spacing w:beforeLines="0" w:afterLines="0"/>
              <w:jc w:val="center"/>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发明专利（标准）有效状态</w:t>
            </w:r>
          </w:p>
        </w:tc>
      </w:tr>
      <w:tr w14:paraId="6EB074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088" w:type="dxa"/>
            <w:tcBorders>
              <w:top w:val="single" w:color="auto" w:sz="4" w:space="0"/>
              <w:left w:val="single" w:color="auto" w:sz="8" w:space="0"/>
              <w:bottom w:val="single" w:color="auto" w:sz="4" w:space="0"/>
              <w:right w:val="single" w:color="auto" w:sz="4" w:space="0"/>
              <w:tl2br w:val="nil"/>
              <w:tr2bl w:val="nil"/>
            </w:tcBorders>
            <w:noWrap w:val="0"/>
            <w:vAlign w:val="top"/>
          </w:tcPr>
          <w:p w14:paraId="0F4ACB58">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其它</w:t>
            </w:r>
          </w:p>
        </w:tc>
        <w:tc>
          <w:tcPr>
            <w:tcW w:w="1260" w:type="dxa"/>
            <w:tcBorders>
              <w:top w:val="single" w:color="auto" w:sz="4" w:space="0"/>
              <w:left w:val="single" w:color="auto" w:sz="4" w:space="0"/>
              <w:bottom w:val="single" w:color="auto" w:sz="4" w:space="0"/>
              <w:right w:val="single" w:color="auto" w:sz="4" w:space="0"/>
              <w:tl2br w:val="nil"/>
              <w:tr2bl w:val="nil"/>
            </w:tcBorders>
            <w:noWrap w:val="0"/>
            <w:vAlign w:val="top"/>
          </w:tcPr>
          <w:p w14:paraId="53915091">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Impairment of attention network function in posterior circulation ischemia-evidence from the Attention Network Test</w:t>
            </w:r>
          </w:p>
        </w:tc>
        <w:tc>
          <w:tcPr>
            <w:tcW w:w="1022" w:type="dxa"/>
            <w:tcBorders>
              <w:top w:val="single" w:color="auto" w:sz="4" w:space="0"/>
              <w:left w:val="single" w:color="auto" w:sz="4" w:space="0"/>
              <w:bottom w:val="single" w:color="auto" w:sz="4" w:space="0"/>
              <w:right w:val="single" w:color="auto" w:sz="4" w:space="0"/>
              <w:tl2br w:val="nil"/>
              <w:tr2bl w:val="nil"/>
            </w:tcBorders>
            <w:noWrap w:val="0"/>
            <w:vAlign w:val="top"/>
          </w:tcPr>
          <w:p w14:paraId="1640CAED">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Switzerland</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top"/>
          </w:tcPr>
          <w:p w14:paraId="111D628F">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36AADCD9">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2023-01-06</w:t>
            </w:r>
          </w:p>
        </w:tc>
        <w:tc>
          <w:tcPr>
            <w:tcW w:w="1134" w:type="dxa"/>
            <w:tcBorders>
              <w:top w:val="single" w:color="auto" w:sz="4" w:space="0"/>
              <w:left w:val="single" w:color="auto" w:sz="4" w:space="0"/>
              <w:bottom w:val="single" w:color="auto" w:sz="4" w:space="0"/>
              <w:right w:val="single" w:color="auto" w:sz="4" w:space="0"/>
              <w:tl2br w:val="nil"/>
              <w:tr2bl w:val="nil"/>
            </w:tcBorders>
            <w:noWrap w:val="0"/>
            <w:vAlign w:val="top"/>
          </w:tcPr>
          <w:p w14:paraId="3D0C27AD">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Frontiers in Human Neuroscience</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06533960">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 xml:space="preserve">The Second Affiliated Hospital of Anhui University of </w:t>
            </w:r>
          </w:p>
          <w:p w14:paraId="7A5F9EA2">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Chinese Medicine</w:t>
            </w:r>
          </w:p>
          <w:p w14:paraId="7ECDED0F">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noWrap w:val="0"/>
            <w:vAlign w:val="top"/>
          </w:tcPr>
          <w:p w14:paraId="7826A337">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Na Li</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Chuanjin Li</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 xml:space="preserve"> Xiaohui Xie</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方正仿宋_GBK" w:cs="Times New Roman"/>
                <w:b/>
                <w:bCs/>
                <w:color w:val="000000" w:themeColor="text1"/>
                <w:sz w:val="21"/>
                <w:szCs w:val="21"/>
                <w:highlight w:val="none"/>
                <w:lang w:val="en-US" w:eastAsia="zh-CN"/>
                <w14:textFill>
                  <w14:solidFill>
                    <w14:schemeClr w14:val="tx1"/>
                  </w14:solidFill>
                </w14:textFill>
              </w:rPr>
              <w:t>Gang Liu</w:t>
            </w:r>
            <w:r>
              <w:rPr>
                <w:rFonts w:hint="eastAsia" w:ascii="Times New Roman" w:hAnsi="Times New Roman" w:eastAsia="方正仿宋_GBK" w:cs="Times New Roman"/>
                <w:b w:val="0"/>
                <w:bCs w:val="0"/>
                <w:color w:val="000000" w:themeColor="text1"/>
                <w:sz w:val="21"/>
                <w:szCs w:val="21"/>
                <w:highlight w:val="none"/>
                <w:lang w:val="en-US" w:eastAsia="zh-CN"/>
                <w14:textFill>
                  <w14:solidFill>
                    <w14:schemeClr w14:val="tx1"/>
                  </w14:solidFill>
                </w14:textFill>
              </w:rPr>
              <w:t>(Corresponding auther)；</w:t>
            </w: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Kai Wang</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Wendong Zhang</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Jin Fan</w:t>
            </w:r>
          </w:p>
          <w:p w14:paraId="2672AB77">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8" w:space="0"/>
              <w:tl2br w:val="nil"/>
              <w:tr2bl w:val="nil"/>
            </w:tcBorders>
            <w:noWrap w:val="0"/>
            <w:vAlign w:val="top"/>
          </w:tcPr>
          <w:p w14:paraId="406F7352">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r>
      <w:tr w14:paraId="2EF057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088" w:type="dxa"/>
            <w:tcBorders>
              <w:top w:val="single" w:color="auto" w:sz="4" w:space="0"/>
              <w:left w:val="single" w:color="auto" w:sz="8" w:space="0"/>
              <w:bottom w:val="single" w:color="auto" w:sz="4" w:space="0"/>
              <w:right w:val="single" w:color="auto" w:sz="4" w:space="0"/>
              <w:tl2br w:val="nil"/>
              <w:tr2bl w:val="nil"/>
            </w:tcBorders>
            <w:noWrap w:val="0"/>
            <w:vAlign w:val="top"/>
          </w:tcPr>
          <w:p w14:paraId="7428FBAB">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其它</w:t>
            </w:r>
          </w:p>
        </w:tc>
        <w:tc>
          <w:tcPr>
            <w:tcW w:w="1260" w:type="dxa"/>
            <w:tcBorders>
              <w:top w:val="single" w:color="auto" w:sz="4" w:space="0"/>
              <w:left w:val="single" w:color="auto" w:sz="4" w:space="0"/>
              <w:bottom w:val="single" w:color="auto" w:sz="4" w:space="0"/>
              <w:right w:val="single" w:color="auto" w:sz="4" w:space="0"/>
              <w:tl2br w:val="nil"/>
              <w:tr2bl w:val="nil"/>
            </w:tcBorders>
            <w:noWrap w:val="0"/>
            <w:vAlign w:val="top"/>
          </w:tcPr>
          <w:p w14:paraId="3A0AC3C9">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基于Mas/PKA/CREB通路探讨颈椎横突尖针刺法治疗后循环缺血性眩晕模型大鼠的作用机制</w:t>
            </w:r>
          </w:p>
        </w:tc>
        <w:tc>
          <w:tcPr>
            <w:tcW w:w="1022" w:type="dxa"/>
            <w:tcBorders>
              <w:top w:val="single" w:color="auto" w:sz="4" w:space="0"/>
              <w:left w:val="single" w:color="auto" w:sz="4" w:space="0"/>
              <w:bottom w:val="single" w:color="auto" w:sz="4" w:space="0"/>
              <w:right w:val="single" w:color="auto" w:sz="4" w:space="0"/>
              <w:tl2br w:val="nil"/>
              <w:tr2bl w:val="nil"/>
            </w:tcBorders>
            <w:noWrap w:val="0"/>
            <w:vAlign w:val="top"/>
          </w:tcPr>
          <w:p w14:paraId="248D1A9B">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中国</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top"/>
          </w:tcPr>
          <w:p w14:paraId="07BE7E13">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6D4FE73C">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2024-02-28</w:t>
            </w:r>
          </w:p>
        </w:tc>
        <w:tc>
          <w:tcPr>
            <w:tcW w:w="1134" w:type="dxa"/>
            <w:tcBorders>
              <w:top w:val="single" w:color="auto" w:sz="4" w:space="0"/>
              <w:left w:val="single" w:color="auto" w:sz="4" w:space="0"/>
              <w:bottom w:val="single" w:color="auto" w:sz="4" w:space="0"/>
              <w:right w:val="single" w:color="auto" w:sz="4" w:space="0"/>
              <w:tl2br w:val="nil"/>
              <w:tr2bl w:val="nil"/>
            </w:tcBorders>
            <w:noWrap w:val="0"/>
            <w:vAlign w:val="top"/>
          </w:tcPr>
          <w:p w14:paraId="61357A1D">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北京中医药大学学报</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1B4EBADE">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安徽中医药大学第二附属医院</w:t>
            </w:r>
          </w:p>
        </w:tc>
        <w:tc>
          <w:tcPr>
            <w:tcW w:w="851" w:type="dxa"/>
            <w:tcBorders>
              <w:top w:val="single" w:color="auto" w:sz="4" w:space="0"/>
              <w:left w:val="single" w:color="auto" w:sz="4" w:space="0"/>
              <w:bottom w:val="single" w:color="auto" w:sz="4" w:space="0"/>
              <w:right w:val="single" w:color="auto" w:sz="4" w:space="0"/>
              <w:tl2br w:val="nil"/>
              <w:tr2bl w:val="nil"/>
            </w:tcBorders>
            <w:noWrap w:val="0"/>
            <w:vAlign w:val="top"/>
          </w:tcPr>
          <w:p w14:paraId="0EAA7FE6">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欧小燕;</w:t>
            </w:r>
            <w:r>
              <w:rPr>
                <w:rFonts w:hint="default" w:ascii="Times New Roman" w:hAnsi="Times New Roman" w:eastAsia="方正仿宋_GBK" w:cs="Times New Roman"/>
                <w:b/>
                <w:bCs/>
                <w:color w:val="000000" w:themeColor="text1"/>
                <w:sz w:val="21"/>
                <w:szCs w:val="21"/>
                <w:highlight w:val="none"/>
                <w14:textFill>
                  <w14:solidFill>
                    <w14:schemeClr w14:val="tx1"/>
                  </w14:solidFill>
                </w14:textFill>
              </w:rPr>
              <w:t>柳刚</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通讯作者</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;杨丽芳;文林月;汪生志;李娜;杨骏;张闻东</w:t>
            </w:r>
          </w:p>
        </w:tc>
        <w:tc>
          <w:tcPr>
            <w:tcW w:w="1183" w:type="dxa"/>
            <w:tcBorders>
              <w:top w:val="single" w:color="auto" w:sz="4" w:space="0"/>
              <w:left w:val="single" w:color="auto" w:sz="4" w:space="0"/>
              <w:bottom w:val="single" w:color="auto" w:sz="4" w:space="0"/>
              <w:right w:val="single" w:color="auto" w:sz="8" w:space="0"/>
              <w:tl2br w:val="nil"/>
              <w:tr2bl w:val="nil"/>
            </w:tcBorders>
            <w:noWrap w:val="0"/>
            <w:vAlign w:val="top"/>
          </w:tcPr>
          <w:p w14:paraId="18BE5373">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r>
      <w:tr w14:paraId="1F8854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088" w:type="dxa"/>
            <w:tcBorders>
              <w:top w:val="single" w:color="auto" w:sz="4" w:space="0"/>
              <w:left w:val="single" w:color="auto" w:sz="8" w:space="0"/>
              <w:bottom w:val="single" w:color="auto" w:sz="4" w:space="0"/>
              <w:right w:val="single" w:color="auto" w:sz="4" w:space="0"/>
              <w:tl2br w:val="nil"/>
              <w:tr2bl w:val="nil"/>
            </w:tcBorders>
            <w:noWrap w:val="0"/>
            <w:vAlign w:val="top"/>
          </w:tcPr>
          <w:p w14:paraId="513B78E1">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其它</w:t>
            </w:r>
          </w:p>
        </w:tc>
        <w:tc>
          <w:tcPr>
            <w:tcW w:w="1260" w:type="dxa"/>
            <w:tcBorders>
              <w:top w:val="single" w:color="auto" w:sz="4" w:space="0"/>
              <w:left w:val="single" w:color="auto" w:sz="4" w:space="0"/>
              <w:bottom w:val="single" w:color="auto" w:sz="4" w:space="0"/>
              <w:right w:val="single" w:color="auto" w:sz="4" w:space="0"/>
              <w:tl2br w:val="nil"/>
              <w:tr2bl w:val="nil"/>
            </w:tcBorders>
            <w:noWrap w:val="0"/>
            <w:vAlign w:val="top"/>
          </w:tcPr>
          <w:p w14:paraId="3AA73647">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颈椎横突尖电项针法调控后循环缺血大鼠血管和神经新生</w:t>
            </w:r>
          </w:p>
        </w:tc>
        <w:tc>
          <w:tcPr>
            <w:tcW w:w="1022" w:type="dxa"/>
            <w:tcBorders>
              <w:top w:val="single" w:color="auto" w:sz="4" w:space="0"/>
              <w:left w:val="single" w:color="auto" w:sz="4" w:space="0"/>
              <w:bottom w:val="single" w:color="auto" w:sz="4" w:space="0"/>
              <w:right w:val="single" w:color="auto" w:sz="4" w:space="0"/>
              <w:tl2br w:val="nil"/>
              <w:tr2bl w:val="nil"/>
            </w:tcBorders>
            <w:noWrap w:val="0"/>
            <w:vAlign w:val="top"/>
          </w:tcPr>
          <w:p w14:paraId="35339CD9">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中国</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top"/>
          </w:tcPr>
          <w:p w14:paraId="0172AFCA">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0915E44B">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2024-04-18</w:t>
            </w:r>
          </w:p>
        </w:tc>
        <w:tc>
          <w:tcPr>
            <w:tcW w:w="1134" w:type="dxa"/>
            <w:tcBorders>
              <w:top w:val="single" w:color="auto" w:sz="4" w:space="0"/>
              <w:left w:val="single" w:color="auto" w:sz="4" w:space="0"/>
              <w:bottom w:val="single" w:color="auto" w:sz="4" w:space="0"/>
              <w:right w:val="single" w:color="auto" w:sz="4" w:space="0"/>
              <w:tl2br w:val="nil"/>
              <w:tr2bl w:val="nil"/>
            </w:tcBorders>
            <w:noWrap w:val="0"/>
            <w:vAlign w:val="top"/>
          </w:tcPr>
          <w:p w14:paraId="015932C7">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浙江中医药大学学报</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508BAB25">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安徽中医药大学第二附属医院</w:t>
            </w:r>
          </w:p>
        </w:tc>
        <w:tc>
          <w:tcPr>
            <w:tcW w:w="851" w:type="dxa"/>
            <w:tcBorders>
              <w:top w:val="single" w:color="auto" w:sz="4" w:space="0"/>
              <w:left w:val="single" w:color="auto" w:sz="4" w:space="0"/>
              <w:bottom w:val="single" w:color="auto" w:sz="4" w:space="0"/>
              <w:right w:val="single" w:color="auto" w:sz="4" w:space="0"/>
              <w:tl2br w:val="nil"/>
              <w:tr2bl w:val="nil"/>
            </w:tcBorders>
            <w:noWrap w:val="0"/>
            <w:vAlign w:val="top"/>
          </w:tcPr>
          <w:p w14:paraId="53E14D08">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杨丽芳;文林月;欧小燕;张寒;</w:t>
            </w:r>
            <w:r>
              <w:rPr>
                <w:rFonts w:hint="default" w:ascii="Times New Roman" w:hAnsi="Times New Roman" w:eastAsia="方正仿宋_GBK" w:cs="Times New Roman"/>
                <w:b/>
                <w:bCs/>
                <w:color w:val="000000" w:themeColor="text1"/>
                <w:sz w:val="21"/>
                <w:szCs w:val="21"/>
                <w:highlight w:val="none"/>
                <w14:textFill>
                  <w14:solidFill>
                    <w14:schemeClr w14:val="tx1"/>
                  </w14:solidFill>
                </w14:textFill>
              </w:rPr>
              <w:t>柳刚</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通讯作者</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p>
        </w:tc>
        <w:tc>
          <w:tcPr>
            <w:tcW w:w="1183" w:type="dxa"/>
            <w:tcBorders>
              <w:top w:val="single" w:color="auto" w:sz="4" w:space="0"/>
              <w:left w:val="single" w:color="auto" w:sz="4" w:space="0"/>
              <w:bottom w:val="single" w:color="auto" w:sz="4" w:space="0"/>
              <w:right w:val="single" w:color="auto" w:sz="8" w:space="0"/>
              <w:tl2br w:val="nil"/>
              <w:tr2bl w:val="nil"/>
            </w:tcBorders>
            <w:noWrap w:val="0"/>
            <w:vAlign w:val="top"/>
          </w:tcPr>
          <w:p w14:paraId="3DFCDD66">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r>
      <w:tr w14:paraId="01DD2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088" w:type="dxa"/>
            <w:tcBorders>
              <w:top w:val="single" w:color="auto" w:sz="4" w:space="0"/>
              <w:left w:val="single" w:color="auto" w:sz="8" w:space="0"/>
              <w:bottom w:val="single" w:color="auto" w:sz="4" w:space="0"/>
              <w:right w:val="single" w:color="auto" w:sz="4" w:space="0"/>
              <w:tl2br w:val="nil"/>
              <w:tr2bl w:val="nil"/>
            </w:tcBorders>
            <w:noWrap w:val="0"/>
            <w:vAlign w:val="top"/>
          </w:tcPr>
          <w:p w14:paraId="6C56C471">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其它</w:t>
            </w:r>
          </w:p>
        </w:tc>
        <w:tc>
          <w:tcPr>
            <w:tcW w:w="1260" w:type="dxa"/>
            <w:tcBorders>
              <w:top w:val="single" w:color="auto" w:sz="4" w:space="0"/>
              <w:left w:val="single" w:color="auto" w:sz="4" w:space="0"/>
              <w:bottom w:val="single" w:color="auto" w:sz="4" w:space="0"/>
              <w:right w:val="single" w:color="auto" w:sz="4" w:space="0"/>
              <w:tl2br w:val="nil"/>
              <w:tr2bl w:val="nil"/>
            </w:tcBorders>
            <w:noWrap w:val="0"/>
            <w:vAlign w:val="top"/>
          </w:tcPr>
          <w:p w14:paraId="5D9EB30E">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针刺通过良性调控反应性星形胶质细胞极化改善后循环缺血性眩晕</w:t>
            </w:r>
          </w:p>
        </w:tc>
        <w:tc>
          <w:tcPr>
            <w:tcW w:w="1022" w:type="dxa"/>
            <w:tcBorders>
              <w:top w:val="single" w:color="auto" w:sz="4" w:space="0"/>
              <w:left w:val="single" w:color="auto" w:sz="4" w:space="0"/>
              <w:bottom w:val="single" w:color="auto" w:sz="4" w:space="0"/>
              <w:right w:val="single" w:color="auto" w:sz="4" w:space="0"/>
              <w:tl2br w:val="nil"/>
              <w:tr2bl w:val="nil"/>
            </w:tcBorders>
            <w:noWrap w:val="0"/>
            <w:vAlign w:val="top"/>
          </w:tcPr>
          <w:p w14:paraId="220DD7C5">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中国</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top"/>
          </w:tcPr>
          <w:p w14:paraId="16CD799A">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0BF4CBFC">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2024-03-20</w:t>
            </w:r>
          </w:p>
        </w:tc>
        <w:tc>
          <w:tcPr>
            <w:tcW w:w="1134" w:type="dxa"/>
            <w:tcBorders>
              <w:top w:val="single" w:color="auto" w:sz="4" w:space="0"/>
              <w:left w:val="single" w:color="auto" w:sz="4" w:space="0"/>
              <w:bottom w:val="single" w:color="auto" w:sz="4" w:space="0"/>
              <w:right w:val="single" w:color="auto" w:sz="4" w:space="0"/>
              <w:tl2br w:val="nil"/>
              <w:tr2bl w:val="nil"/>
            </w:tcBorders>
            <w:noWrap w:val="0"/>
            <w:vAlign w:val="top"/>
          </w:tcPr>
          <w:p w14:paraId="5B29DF3F">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上海针灸杂志</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97043A2">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安徽中医药大学第二附属医院</w:t>
            </w:r>
          </w:p>
        </w:tc>
        <w:tc>
          <w:tcPr>
            <w:tcW w:w="851" w:type="dxa"/>
            <w:tcBorders>
              <w:top w:val="single" w:color="auto" w:sz="4" w:space="0"/>
              <w:left w:val="single" w:color="auto" w:sz="4" w:space="0"/>
              <w:bottom w:val="single" w:color="auto" w:sz="4" w:space="0"/>
              <w:right w:val="single" w:color="auto" w:sz="4" w:space="0"/>
              <w:tl2br w:val="nil"/>
              <w:tr2bl w:val="nil"/>
            </w:tcBorders>
            <w:noWrap w:val="0"/>
            <w:vAlign w:val="top"/>
          </w:tcPr>
          <w:p w14:paraId="684D431E">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文林月;杨丽芳;欧小燕;</w:t>
            </w:r>
            <w:r>
              <w:rPr>
                <w:rFonts w:hint="default" w:ascii="Times New Roman" w:hAnsi="Times New Roman" w:eastAsia="方正仿宋_GBK" w:cs="Times New Roman"/>
                <w:b/>
                <w:bCs/>
                <w:color w:val="000000" w:themeColor="text1"/>
                <w:sz w:val="21"/>
                <w:szCs w:val="21"/>
                <w:highlight w:val="none"/>
                <w14:textFill>
                  <w14:solidFill>
                    <w14:schemeClr w14:val="tx1"/>
                  </w14:solidFill>
                </w14:textFill>
              </w:rPr>
              <w:t>柳刚</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通讯作者</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p>
        </w:tc>
        <w:tc>
          <w:tcPr>
            <w:tcW w:w="1183" w:type="dxa"/>
            <w:tcBorders>
              <w:top w:val="single" w:color="auto" w:sz="4" w:space="0"/>
              <w:left w:val="single" w:color="auto" w:sz="4" w:space="0"/>
              <w:bottom w:val="single" w:color="auto" w:sz="4" w:space="0"/>
              <w:right w:val="single" w:color="auto" w:sz="8" w:space="0"/>
              <w:tl2br w:val="nil"/>
              <w:tr2bl w:val="nil"/>
            </w:tcBorders>
            <w:noWrap w:val="0"/>
            <w:vAlign w:val="top"/>
          </w:tcPr>
          <w:p w14:paraId="2D78722B">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r>
      <w:tr w14:paraId="0AE68D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88" w:type="dxa"/>
            <w:tcBorders>
              <w:top w:val="single" w:color="auto" w:sz="4" w:space="0"/>
              <w:left w:val="single" w:color="auto" w:sz="8" w:space="0"/>
              <w:bottom w:val="single" w:color="auto" w:sz="4" w:space="0"/>
              <w:right w:val="single" w:color="auto" w:sz="4" w:space="0"/>
              <w:tl2br w:val="nil"/>
              <w:tr2bl w:val="nil"/>
            </w:tcBorders>
            <w:noWrap w:val="0"/>
            <w:vAlign w:val="top"/>
          </w:tcPr>
          <w:p w14:paraId="4AC4C8B4">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其它</w:t>
            </w:r>
          </w:p>
        </w:tc>
        <w:tc>
          <w:tcPr>
            <w:tcW w:w="1260" w:type="dxa"/>
            <w:tcBorders>
              <w:top w:val="single" w:color="auto" w:sz="4" w:space="0"/>
              <w:left w:val="single" w:color="auto" w:sz="4" w:space="0"/>
              <w:bottom w:val="single" w:color="auto" w:sz="4" w:space="0"/>
              <w:right w:val="single" w:color="auto" w:sz="4" w:space="0"/>
              <w:tl2br w:val="nil"/>
              <w:tr2bl w:val="nil"/>
            </w:tcBorders>
            <w:noWrap w:val="0"/>
            <w:vAlign w:val="top"/>
          </w:tcPr>
          <w:p w14:paraId="1749E05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颈椎横突旁针刺联合循经推拿对后循环缺血性眩晕患者眩晕症状及脑血流量影响</w:t>
            </w:r>
          </w:p>
          <w:p w14:paraId="2CF4BF24">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l2br w:val="nil"/>
              <w:tr2bl w:val="nil"/>
            </w:tcBorders>
            <w:noWrap w:val="0"/>
            <w:vAlign w:val="top"/>
          </w:tcPr>
          <w:p w14:paraId="5676D8A5">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中国</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top"/>
          </w:tcPr>
          <w:p w14:paraId="4A149F44">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2963C39D">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2023-08-01</w:t>
            </w:r>
          </w:p>
        </w:tc>
        <w:tc>
          <w:tcPr>
            <w:tcW w:w="1134" w:type="dxa"/>
            <w:tcBorders>
              <w:top w:val="single" w:color="auto" w:sz="4" w:space="0"/>
              <w:left w:val="single" w:color="auto" w:sz="4" w:space="0"/>
              <w:bottom w:val="single" w:color="auto" w:sz="4" w:space="0"/>
              <w:right w:val="single" w:color="auto" w:sz="4" w:space="0"/>
              <w:tl2br w:val="nil"/>
              <w:tr2bl w:val="nil"/>
            </w:tcBorders>
            <w:noWrap w:val="0"/>
            <w:vAlign w:val="top"/>
          </w:tcPr>
          <w:p w14:paraId="178CCB30">
            <w:pPr>
              <w:adjustRightInd w:val="0"/>
              <w:snapToGrid w:val="0"/>
              <w:spacing w:beforeLines="0" w:afterLines="0"/>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辽宁中医药大学学报</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25F0A37B">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lang w:val="en-US" w:eastAsia="zh-CN"/>
                <w14:textFill>
                  <w14:solidFill>
                    <w14:schemeClr w14:val="tx1"/>
                  </w14:solidFill>
                </w14:textFill>
              </w:rPr>
              <w:t>安徽中医药大学第二附属医院</w:t>
            </w:r>
          </w:p>
        </w:tc>
        <w:tc>
          <w:tcPr>
            <w:tcW w:w="851" w:type="dxa"/>
            <w:tcBorders>
              <w:top w:val="single" w:color="auto" w:sz="4" w:space="0"/>
              <w:left w:val="single" w:color="auto" w:sz="4" w:space="0"/>
              <w:bottom w:val="single" w:color="auto" w:sz="4" w:space="0"/>
              <w:right w:val="single" w:color="auto" w:sz="4" w:space="0"/>
              <w:tl2br w:val="nil"/>
              <w:tr2bl w:val="nil"/>
            </w:tcBorders>
            <w:noWrap w:val="0"/>
            <w:vAlign w:val="top"/>
          </w:tcPr>
          <w:p w14:paraId="54E2DE14">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汪生志;</w:t>
            </w:r>
            <w:r>
              <w:rPr>
                <w:rFonts w:hint="default" w:ascii="Times New Roman" w:hAnsi="Times New Roman" w:eastAsia="方正仿宋_GBK" w:cs="Times New Roman"/>
                <w:b/>
                <w:bCs/>
                <w:color w:val="000000" w:themeColor="text1"/>
                <w:sz w:val="21"/>
                <w:szCs w:val="21"/>
                <w:highlight w:val="none"/>
                <w14:textFill>
                  <w14:solidFill>
                    <w14:schemeClr w14:val="tx1"/>
                  </w14:solidFill>
                </w14:textFill>
              </w:rPr>
              <w:t>柳刚</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通讯作者</w:t>
            </w:r>
            <w:r>
              <w:rPr>
                <w:rFonts w:hint="eastAsia" w:ascii="Times New Roman" w:hAnsi="Times New Roman" w:eastAsia="方正仿宋_GBK"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21"/>
                <w:szCs w:val="21"/>
                <w:highlight w:val="none"/>
                <w14:textFill>
                  <w14:solidFill>
                    <w14:schemeClr w14:val="tx1"/>
                  </w14:solidFill>
                </w14:textFill>
              </w:rPr>
              <w:t>;欧小燕;李娜;朱玉侠</w:t>
            </w:r>
          </w:p>
        </w:tc>
        <w:tc>
          <w:tcPr>
            <w:tcW w:w="1183" w:type="dxa"/>
            <w:tcBorders>
              <w:top w:val="single" w:color="auto" w:sz="4" w:space="0"/>
              <w:left w:val="single" w:color="auto" w:sz="4" w:space="0"/>
              <w:bottom w:val="single" w:color="auto" w:sz="4" w:space="0"/>
              <w:right w:val="single" w:color="auto" w:sz="8" w:space="0"/>
              <w:tl2br w:val="nil"/>
              <w:tr2bl w:val="nil"/>
            </w:tcBorders>
            <w:noWrap w:val="0"/>
            <w:vAlign w:val="top"/>
          </w:tcPr>
          <w:p w14:paraId="1C8702B1">
            <w:pPr>
              <w:adjustRightInd w:val="0"/>
              <w:snapToGrid w:val="0"/>
              <w:spacing w:beforeLines="0" w:afterLines="0"/>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1"/>
                <w:szCs w:val="21"/>
                <w:highlight w:val="none"/>
                <w:lang w:val="en-US" w:eastAsia="zh-CN"/>
                <w14:textFill>
                  <w14:solidFill>
                    <w14:schemeClr w14:val="tx1"/>
                  </w14:solidFill>
                </w14:textFill>
              </w:rPr>
              <w:t>-</w:t>
            </w:r>
          </w:p>
        </w:tc>
      </w:tr>
      <w:tr w14:paraId="6FB989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088" w:type="dxa"/>
            <w:tcBorders>
              <w:top w:val="single" w:color="auto" w:sz="4" w:space="0"/>
              <w:left w:val="single" w:color="auto" w:sz="8" w:space="0"/>
              <w:bottom w:val="single" w:color="auto" w:sz="4" w:space="0"/>
              <w:right w:val="single" w:color="auto" w:sz="4" w:space="0"/>
              <w:tl2br w:val="nil"/>
              <w:tr2bl w:val="nil"/>
            </w:tcBorders>
            <w:noWrap w:val="0"/>
            <w:vAlign w:val="top"/>
          </w:tcPr>
          <w:p w14:paraId="3E0BE8D3">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l2br w:val="nil"/>
              <w:tr2bl w:val="nil"/>
            </w:tcBorders>
            <w:noWrap w:val="0"/>
            <w:vAlign w:val="top"/>
          </w:tcPr>
          <w:p w14:paraId="1551094E">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l2br w:val="nil"/>
              <w:tr2bl w:val="nil"/>
            </w:tcBorders>
            <w:noWrap w:val="0"/>
            <w:vAlign w:val="top"/>
          </w:tcPr>
          <w:p w14:paraId="77C22142">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top"/>
          </w:tcPr>
          <w:p w14:paraId="6AFEA926">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l2br w:val="nil"/>
              <w:tr2bl w:val="nil"/>
            </w:tcBorders>
            <w:noWrap w:val="0"/>
            <w:vAlign w:val="top"/>
          </w:tcPr>
          <w:p w14:paraId="780D3C26">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l2br w:val="nil"/>
              <w:tr2bl w:val="nil"/>
            </w:tcBorders>
            <w:noWrap w:val="0"/>
            <w:vAlign w:val="top"/>
          </w:tcPr>
          <w:p w14:paraId="3F1803A0">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43C3BD8">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noWrap w:val="0"/>
            <w:vAlign w:val="top"/>
          </w:tcPr>
          <w:p w14:paraId="102D3DC2">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8" w:space="0"/>
              <w:tl2br w:val="nil"/>
              <w:tr2bl w:val="nil"/>
            </w:tcBorders>
            <w:noWrap w:val="0"/>
            <w:vAlign w:val="top"/>
          </w:tcPr>
          <w:p w14:paraId="552B5527">
            <w:pPr>
              <w:adjustRightInd w:val="0"/>
              <w:snapToGrid w:val="0"/>
              <w:spacing w:beforeLines="0" w:afterLines="0"/>
              <w:rPr>
                <w:rFonts w:hint="default" w:ascii="Times New Roman" w:hAnsi="Times New Roman" w:eastAsia="方正仿宋_GBK" w:cs="Times New Roman"/>
                <w:color w:val="000000" w:themeColor="text1"/>
                <w:sz w:val="21"/>
                <w:szCs w:val="21"/>
                <w:highlight w:val="none"/>
                <w14:textFill>
                  <w14:solidFill>
                    <w14:schemeClr w14:val="tx1"/>
                  </w14:solidFill>
                </w14:textFill>
              </w:rPr>
            </w:pPr>
          </w:p>
        </w:tc>
      </w:tr>
    </w:tbl>
    <w:p w14:paraId="33D16CE6">
      <w:pPr>
        <w:spacing w:beforeLines="0" w:afterLines="0" w:line="560" w:lineRule="exact"/>
        <w:ind w:firstLine="643" w:firstLineChars="200"/>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b/>
          <w:bCs/>
          <w:color w:val="auto"/>
          <w:sz w:val="32"/>
          <w:szCs w:val="32"/>
          <w:highlight w:val="none"/>
        </w:rPr>
        <w:t>主要完成人</w:t>
      </w:r>
      <w:r>
        <w:rPr>
          <w:rFonts w:hint="eastAsia" w:ascii="Times New Roman" w:hAnsi="Times New Roman" w:eastAsia="方正仿宋_GBK" w:cs="方正仿宋_GBK"/>
          <w:b/>
          <w:bCs/>
          <w:color w:val="auto"/>
          <w:sz w:val="32"/>
          <w:szCs w:val="32"/>
          <w:highlight w:val="none"/>
          <w:lang w:eastAsia="zh-CN"/>
        </w:rPr>
        <w:t>：</w:t>
      </w:r>
      <w:r>
        <w:rPr>
          <w:rFonts w:hint="eastAsia" w:ascii="Times New Roman" w:hAnsi="Times New Roman" w:eastAsia="方正仿宋_GBK" w:cs="方正仿宋_GBK"/>
          <w:color w:val="auto"/>
          <w:sz w:val="32"/>
          <w:szCs w:val="32"/>
          <w:highlight w:val="none"/>
          <w:lang w:val="en-US" w:eastAsia="zh-CN"/>
        </w:rPr>
        <w:t>柳刚，朱玲玲，汪生志，严保雷，马磊，何森，郑仕平。</w:t>
      </w:r>
    </w:p>
    <w:p w14:paraId="60E0D8DD">
      <w:pPr>
        <w:spacing w:beforeLines="0" w:afterLines="0" w:line="560" w:lineRule="exact"/>
        <w:ind w:firstLine="643" w:firstLineChars="200"/>
        <w:rPr>
          <w:rFonts w:hint="default"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b/>
          <w:bCs/>
          <w:color w:val="auto"/>
          <w:sz w:val="32"/>
          <w:szCs w:val="32"/>
          <w:highlight w:val="none"/>
        </w:rPr>
        <w:t>主要完成单位</w:t>
      </w:r>
      <w:r>
        <w:rPr>
          <w:rFonts w:hint="eastAsia" w:ascii="Times New Roman" w:hAnsi="Times New Roman" w:eastAsia="方正仿宋_GBK" w:cs="方正仿宋_GBK"/>
          <w:b/>
          <w:bCs/>
          <w:color w:val="auto"/>
          <w:sz w:val="32"/>
          <w:szCs w:val="32"/>
          <w:highlight w:val="none"/>
          <w:lang w:eastAsia="zh-CN"/>
        </w:rPr>
        <w:t>：</w:t>
      </w:r>
      <w:r>
        <w:rPr>
          <w:rFonts w:hint="eastAsia" w:ascii="Times New Roman" w:hAnsi="Times New Roman" w:eastAsia="方正仿宋_GBK" w:cs="方正仿宋_GBK"/>
          <w:color w:val="auto"/>
          <w:sz w:val="32"/>
          <w:szCs w:val="32"/>
          <w:highlight w:val="none"/>
          <w:lang w:val="en-US" w:eastAsia="zh-CN"/>
        </w:rPr>
        <w:t>安徽中医药大学第二附属医院，明光市中医院，蒙城县中医院，庐江县中医院</w:t>
      </w:r>
    </w:p>
    <w:p w14:paraId="1C702109">
      <w:pPr>
        <w:spacing w:beforeLines="0" w:afterLines="0" w:line="560" w:lineRule="exact"/>
        <w:ind w:firstLine="640" w:firstLineChars="200"/>
        <w:rPr>
          <w:rFonts w:hint="eastAsia" w:ascii="Times New Roman" w:hAnsi="Times New Roman" w:eastAsia="方正仿宋_GBK" w:cs="方正仿宋_GBK"/>
          <w:color w:val="auto"/>
          <w:sz w:val="32"/>
          <w:szCs w:val="32"/>
          <w:highlight w:val="none"/>
        </w:rPr>
      </w:pPr>
    </w:p>
    <w:p w14:paraId="4EB5F91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以上项目经江海河、徐晓玲、费广鹤、戴敏、桂双英 </w:t>
      </w:r>
    </w:p>
    <w:p w14:paraId="680A3C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五位专家论证，专家信息如下： </w:t>
      </w:r>
      <w:bookmarkStart w:id="1" w:name="_GoBack"/>
      <w:bookmarkEnd w:id="1"/>
    </w:p>
    <w:p w14:paraId="61FD2A3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江海河：</w:t>
      </w:r>
      <w:r>
        <w:rPr>
          <w:rFonts w:hint="eastAsia" w:ascii="方正仿宋_GBK" w:hAnsi="方正仿宋_GBK" w:eastAsia="方正仿宋_GBK" w:cs="方正仿宋_GBK"/>
          <w:sz w:val="32"/>
          <w:szCs w:val="32"/>
          <w:lang w:val="en-US" w:eastAsia="zh-CN"/>
        </w:rPr>
        <w:t>中科院合肥物质研究院、研究员，光电技术、智能装备与成果转化；</w:t>
      </w:r>
    </w:p>
    <w:p w14:paraId="333375A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徐晓玲：</w:t>
      </w:r>
      <w:r>
        <w:rPr>
          <w:rFonts w:hint="eastAsia" w:ascii="方正仿宋_GBK" w:hAnsi="方正仿宋_GBK" w:eastAsia="方正仿宋_GBK" w:cs="方正仿宋_GBK"/>
          <w:sz w:val="32"/>
          <w:szCs w:val="32"/>
          <w:lang w:val="en-US" w:eastAsia="zh-CN"/>
        </w:rPr>
        <w:t xml:space="preserve">中国科学技术大学第一附属医院、教授，临床医学研究； </w:t>
      </w:r>
    </w:p>
    <w:p w14:paraId="48E10B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w:t>
      </w:r>
      <w:r>
        <w:rPr>
          <w:rFonts w:hint="eastAsia" w:ascii="方正仿宋_GBK" w:hAnsi="方正仿宋_GBK" w:eastAsia="方正仿宋_GBK" w:cs="方正仿宋_GBK"/>
          <w:b/>
          <w:bCs/>
          <w:sz w:val="32"/>
          <w:szCs w:val="32"/>
          <w:lang w:val="en-US" w:eastAsia="zh-CN"/>
        </w:rPr>
        <w:t>费广鹤：</w:t>
      </w:r>
      <w:r>
        <w:rPr>
          <w:rFonts w:hint="eastAsia" w:ascii="方正仿宋_GBK" w:hAnsi="方正仿宋_GBK" w:eastAsia="方正仿宋_GBK" w:cs="方正仿宋_GBK"/>
          <w:sz w:val="32"/>
          <w:szCs w:val="32"/>
          <w:lang w:val="en-US" w:eastAsia="zh-CN"/>
        </w:rPr>
        <w:t xml:space="preserve">安徽医科大学第一附属医院、教授，临床医学研究； </w:t>
      </w:r>
    </w:p>
    <w:p w14:paraId="5EC356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w:t>
      </w:r>
      <w:r>
        <w:rPr>
          <w:rFonts w:hint="eastAsia" w:ascii="方正仿宋_GBK" w:hAnsi="方正仿宋_GBK" w:eastAsia="方正仿宋_GBK" w:cs="方正仿宋_GBK"/>
          <w:b/>
          <w:bCs/>
          <w:sz w:val="32"/>
          <w:szCs w:val="32"/>
          <w:lang w:val="en-US" w:eastAsia="zh-CN"/>
        </w:rPr>
        <w:t>戴敏：</w:t>
      </w:r>
      <w:r>
        <w:rPr>
          <w:rFonts w:hint="eastAsia" w:ascii="方正仿宋_GBK" w:hAnsi="方正仿宋_GBK" w:eastAsia="方正仿宋_GBK" w:cs="方正仿宋_GBK"/>
          <w:sz w:val="32"/>
          <w:szCs w:val="32"/>
          <w:lang w:val="en-US" w:eastAsia="zh-CN"/>
        </w:rPr>
        <w:t xml:space="preserve">安徽中医药大学、教授，中药药理与新药研发； </w:t>
      </w:r>
    </w:p>
    <w:p w14:paraId="4191FE6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w:t>
      </w:r>
      <w:r>
        <w:rPr>
          <w:rFonts w:hint="eastAsia" w:ascii="方正仿宋_GBK" w:hAnsi="方正仿宋_GBK" w:eastAsia="方正仿宋_GBK" w:cs="方正仿宋_GBK"/>
          <w:b/>
          <w:bCs/>
          <w:sz w:val="32"/>
          <w:szCs w:val="32"/>
          <w:lang w:val="en-US" w:eastAsia="zh-CN"/>
        </w:rPr>
        <w:t>桂双英：</w:t>
      </w:r>
      <w:r>
        <w:rPr>
          <w:rFonts w:hint="eastAsia" w:ascii="方正仿宋_GBK" w:hAnsi="方正仿宋_GBK" w:eastAsia="方正仿宋_GBK" w:cs="方正仿宋_GBK"/>
          <w:sz w:val="32"/>
          <w:szCs w:val="32"/>
          <w:lang w:val="en-US" w:eastAsia="zh-CN"/>
        </w:rPr>
        <w:t>安徽中医药大学、教授，中药制剂与质量评价。</w:t>
      </w:r>
    </w:p>
    <w:p w14:paraId="6171BA88">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BB0769"/>
    <w:rsid w:val="29471982"/>
    <w:rsid w:val="3C526008"/>
    <w:rsid w:val="479207E3"/>
    <w:rsid w:val="49EF4942"/>
    <w:rsid w:val="5BF2017C"/>
    <w:rsid w:val="69D76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733</Words>
  <Characters>1027</Characters>
  <Lines>0</Lines>
  <Paragraphs>0</Paragraphs>
  <TotalTime>11</TotalTime>
  <ScaleCrop>false</ScaleCrop>
  <LinksUpToDate>false</LinksUpToDate>
  <CharactersWithSpaces>1061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2026-09-01T08:30:00Z</dcterms:created>
  <dc:creator>34350</dc:creator>
  <cp:lastModifiedBy>你若化成风</cp:lastModifiedBy>
  <dcterms:modified xsi:type="dcterms:W3CDTF">2026-09-10T12:43:43Z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eyJoZGlkIjoiMzYzNjU5YjM5NmVjMWZkMDVlMzcyNjI4MTFhMzgyNmMiLCJ1c2VySWQiOiIzNjQzOTY3NjYifQ==</vt:lpwstr>
  </property>
  <property fmtid="{D5CDD505-2E9C-101B-9397-08002B2CF9AE}" pid="4" name="ICV">
    <vt:lpwstr>15EB09BD66484C91A042829CC8F26C56_12</vt:lpwstr>
  </property>
</Properties>
</file>